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B1226D" w14:textId="77777777" w:rsidR="00AD6D17" w:rsidRDefault="00AD6D17"/>
    <w:p w14:paraId="0B87FA39" w14:textId="77777777" w:rsidR="00A926B1" w:rsidRDefault="00A926B1"/>
    <w:p w14:paraId="0DE2DA1E" w14:textId="77777777" w:rsidR="00A926B1" w:rsidRPr="00A926B1" w:rsidRDefault="00A926B1" w:rsidP="00A926B1">
      <w:pPr>
        <w:rPr>
          <w:rFonts w:ascii="Arial Nova" w:hAnsi="Arial Nova"/>
          <w:color w:val="0070C0"/>
          <w:sz w:val="56"/>
          <w:szCs w:val="56"/>
        </w:rPr>
      </w:pPr>
      <w:r w:rsidRPr="00A926B1">
        <w:rPr>
          <w:rFonts w:ascii="Arial Nova" w:hAnsi="Arial Nova"/>
          <w:color w:val="0070C0"/>
          <w:sz w:val="56"/>
          <w:szCs w:val="56"/>
        </w:rPr>
        <w:t xml:space="preserve">Governance Framework  </w:t>
      </w:r>
    </w:p>
    <w:p w14:paraId="52D6747C" w14:textId="77777777" w:rsidR="00A926B1" w:rsidRPr="00A926B1" w:rsidRDefault="00A926B1" w:rsidP="00A926B1">
      <w:pPr>
        <w:rPr>
          <w:rFonts w:ascii="Arial Nova" w:hAnsi="Arial Nova"/>
          <w:sz w:val="32"/>
          <w:szCs w:val="32"/>
        </w:rPr>
      </w:pPr>
      <w:r w:rsidRPr="00A926B1">
        <w:rPr>
          <w:rFonts w:ascii="Arial Nova" w:hAnsi="Arial Nova"/>
          <w:color w:val="0070C0"/>
          <w:sz w:val="32"/>
          <w:szCs w:val="32"/>
        </w:rPr>
        <w:t>Purpose</w:t>
      </w:r>
      <w:r w:rsidRPr="00A926B1">
        <w:rPr>
          <w:rFonts w:ascii="Arial Nova" w:hAnsi="Arial Nova"/>
          <w:sz w:val="32"/>
          <w:szCs w:val="32"/>
        </w:rPr>
        <w:t xml:space="preserve"> </w:t>
      </w:r>
    </w:p>
    <w:p w14:paraId="66AF92EA" w14:textId="3986DF85" w:rsidR="00A926B1" w:rsidRPr="00A926B1" w:rsidRDefault="00A926B1" w:rsidP="0003536C">
      <w:pPr>
        <w:spacing w:line="360" w:lineRule="auto"/>
        <w:rPr>
          <w:rFonts w:ascii="Arial Nova" w:hAnsi="Arial Nova"/>
          <w:sz w:val="28"/>
          <w:szCs w:val="28"/>
        </w:rPr>
      </w:pPr>
      <w:r w:rsidRPr="00A926B1">
        <w:rPr>
          <w:rFonts w:ascii="Arial Nova" w:hAnsi="Arial Nova"/>
          <w:sz w:val="28"/>
          <w:szCs w:val="28"/>
        </w:rPr>
        <w:t xml:space="preserve">Community Pharmacy England and Local Pharmaceutical Committees champion community pharmacy across England – representing community pharmacy owners at national and local level, and giving them the support they need, negotiating the best deal with the Government and NHS, and influencing positive change because everyone in society needs thriving community pharmacy. </w:t>
      </w:r>
    </w:p>
    <w:p w14:paraId="78A3F691" w14:textId="77777777" w:rsidR="00A926B1" w:rsidRPr="00A926B1" w:rsidRDefault="00A926B1" w:rsidP="0003536C">
      <w:pPr>
        <w:spacing w:line="360" w:lineRule="auto"/>
        <w:rPr>
          <w:rFonts w:ascii="Arial Nova" w:hAnsi="Arial Nova"/>
          <w:color w:val="0070C0"/>
          <w:sz w:val="28"/>
          <w:szCs w:val="28"/>
        </w:rPr>
      </w:pPr>
      <w:r w:rsidRPr="00A926B1">
        <w:rPr>
          <w:rFonts w:ascii="Arial Nova" w:hAnsi="Arial Nova"/>
          <w:color w:val="0070C0"/>
          <w:sz w:val="28"/>
          <w:szCs w:val="28"/>
        </w:rPr>
        <w:t xml:space="preserve">Leadership  </w:t>
      </w:r>
    </w:p>
    <w:p w14:paraId="61015C82" w14:textId="59DB8A47" w:rsidR="00A926B1" w:rsidRPr="0003536C" w:rsidRDefault="00A926B1" w:rsidP="0003536C">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The Community Pharmacy England and LPC Committees provide effective leadership to their organisation. Each Committee collectively represents the interests of pharmacy owners and provides oversight of organisational activity to generate value for the sector and promote the long-term success of community pharmacy in England. </w:t>
      </w:r>
    </w:p>
    <w:p w14:paraId="231EF9AC" w14:textId="0577C5E5" w:rsidR="00A926B1" w:rsidRPr="0003536C" w:rsidRDefault="00A926B1" w:rsidP="0003536C">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Each Committee determines its organisation’s strategy (including for negotiation) and satisfies itself that this is aligned with its purpose and organisational culture and is consistent with the overall governance framework, its constitution and the </w:t>
      </w:r>
      <w:proofErr w:type="spellStart"/>
      <w:r w:rsidRPr="0003536C">
        <w:rPr>
          <w:rFonts w:ascii="Arial Nova" w:hAnsi="Arial Nova"/>
          <w:sz w:val="28"/>
          <w:szCs w:val="28"/>
        </w:rPr>
        <w:t>longterm</w:t>
      </w:r>
      <w:proofErr w:type="spellEnd"/>
      <w:r w:rsidRPr="0003536C">
        <w:rPr>
          <w:rFonts w:ascii="Arial Nova" w:hAnsi="Arial Nova"/>
          <w:sz w:val="28"/>
          <w:szCs w:val="28"/>
        </w:rPr>
        <w:t xml:space="preserve"> interest of community pharmacy. All Committee members must act with integrity, </w:t>
      </w:r>
      <w:proofErr w:type="spellStart"/>
      <w:r w:rsidRPr="0003536C">
        <w:rPr>
          <w:rFonts w:ascii="Arial Nova" w:hAnsi="Arial Nova"/>
          <w:sz w:val="28"/>
          <w:szCs w:val="28"/>
        </w:rPr>
        <w:t>lead</w:t>
      </w:r>
      <w:proofErr w:type="spellEnd"/>
      <w:r w:rsidRPr="0003536C">
        <w:rPr>
          <w:rFonts w:ascii="Arial Nova" w:hAnsi="Arial Nova"/>
          <w:sz w:val="28"/>
          <w:szCs w:val="28"/>
        </w:rPr>
        <w:t xml:space="preserve"> by example and promote the desired culture. </w:t>
      </w:r>
    </w:p>
    <w:p w14:paraId="05706C33" w14:textId="2E74B16A" w:rsidR="00A926B1" w:rsidRPr="0003536C" w:rsidRDefault="00A926B1" w:rsidP="0003536C">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The Committee agrees its organisational objectives to support delivery of the strategy and ensures that the organisation makes best </w:t>
      </w:r>
      <w:r w:rsidRPr="0003536C">
        <w:rPr>
          <w:rFonts w:ascii="Arial Nova" w:hAnsi="Arial Nova"/>
          <w:sz w:val="28"/>
          <w:szCs w:val="28"/>
        </w:rPr>
        <w:lastRenderedPageBreak/>
        <w:t xml:space="preserve">use of the resources available to deliver these, measuring performance and progress against them. The Committee ensures that there are effective arrangements in place to manage risks to the delivery of the organisation’s purpose, strategy and objectives. </w:t>
      </w:r>
    </w:p>
    <w:p w14:paraId="355CAF5E" w14:textId="662311CE" w:rsidR="00A926B1" w:rsidRPr="0003536C" w:rsidRDefault="00A926B1" w:rsidP="0003536C">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The Committee ensures effective engagement with, and encourages participation from, a wide range of pharmacy owners and other stakeholders to ensure that the organisation can best represent the interests of community pharmacy.  </w:t>
      </w:r>
    </w:p>
    <w:p w14:paraId="540577D8" w14:textId="505A65CB" w:rsidR="00A926B1" w:rsidRPr="0003536C" w:rsidRDefault="00A926B1" w:rsidP="0003536C">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The Committee ensures that the organisation has the policies and practices in place</w:t>
      </w:r>
      <w:r w:rsidRPr="0003536C">
        <w:rPr>
          <w:rFonts w:ascii="Arial Nova" w:hAnsi="Arial Nova"/>
          <w:sz w:val="28"/>
          <w:szCs w:val="28"/>
        </w:rPr>
        <w:t xml:space="preserve"> </w:t>
      </w:r>
      <w:r w:rsidRPr="0003536C">
        <w:rPr>
          <w:rFonts w:ascii="Arial Nova" w:hAnsi="Arial Nova"/>
          <w:sz w:val="28"/>
          <w:szCs w:val="28"/>
        </w:rPr>
        <w:t xml:space="preserve">that are consistent with the organisation’s values as well as statutory requirements. Staff should be able to raise any matters of concern. </w:t>
      </w:r>
    </w:p>
    <w:p w14:paraId="14F98280" w14:textId="77777777" w:rsidR="00A926B1" w:rsidRDefault="00A926B1" w:rsidP="00A926B1">
      <w:pPr>
        <w:rPr>
          <w:rFonts w:ascii="Arial Nova" w:hAnsi="Arial Nova"/>
          <w:color w:val="0070C0"/>
          <w:sz w:val="28"/>
          <w:szCs w:val="28"/>
        </w:rPr>
      </w:pPr>
      <w:r w:rsidRPr="00A926B1">
        <w:rPr>
          <w:rFonts w:ascii="Arial Nova" w:hAnsi="Arial Nova"/>
          <w:color w:val="0070C0"/>
          <w:sz w:val="28"/>
          <w:szCs w:val="28"/>
        </w:rPr>
        <w:t xml:space="preserve">Division of Responsibilities </w:t>
      </w:r>
    </w:p>
    <w:p w14:paraId="6874BCBB" w14:textId="3AC072C5" w:rsidR="00A926B1" w:rsidRPr="0003536C" w:rsidRDefault="00A926B1" w:rsidP="00357F79">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The chair steers the Committee, promoting a culture of openness and debate. The chair facilitates constructive Committee relations with each other and the executive, encouraging the effective contribution of all Committee members. The chair, working with the Executive Leadership Team, ensures that Committee members receive accurate, timely and clear information and that the Committee has the policies, processes, information, time and resources it needs </w:t>
      </w:r>
      <w:proofErr w:type="gramStart"/>
      <w:r w:rsidRPr="0003536C">
        <w:rPr>
          <w:rFonts w:ascii="Arial Nova" w:hAnsi="Arial Nova"/>
          <w:sz w:val="28"/>
          <w:szCs w:val="28"/>
        </w:rPr>
        <w:t>in order to</w:t>
      </w:r>
      <w:proofErr w:type="gramEnd"/>
      <w:r w:rsidRPr="0003536C">
        <w:rPr>
          <w:rFonts w:ascii="Arial Nova" w:hAnsi="Arial Nova"/>
          <w:sz w:val="28"/>
          <w:szCs w:val="28"/>
        </w:rPr>
        <w:t xml:space="preserve"> function effectively and efficiently. </w:t>
      </w:r>
    </w:p>
    <w:p w14:paraId="61D7C35B" w14:textId="77777777" w:rsidR="00357F79" w:rsidRDefault="00A926B1" w:rsidP="00357F79">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The Committee is representative of the sector or area.  All members participate equally in the Committee’s decision-making, with decisions reached by consensus where possible and the Committee collectively owning all decisions taken.  </w:t>
      </w:r>
    </w:p>
    <w:p w14:paraId="33B02033" w14:textId="666C3FC8" w:rsidR="00A926B1" w:rsidRPr="00357F79" w:rsidRDefault="00A926B1" w:rsidP="00357F79">
      <w:pPr>
        <w:spacing w:line="360" w:lineRule="auto"/>
        <w:rPr>
          <w:rFonts w:ascii="Arial Nova" w:hAnsi="Arial Nova"/>
          <w:sz w:val="28"/>
          <w:szCs w:val="28"/>
        </w:rPr>
      </w:pPr>
      <w:r w:rsidRPr="00357F79">
        <w:rPr>
          <w:rFonts w:ascii="Arial Nova" w:hAnsi="Arial Nova"/>
          <w:sz w:val="28"/>
          <w:szCs w:val="28"/>
        </w:rPr>
        <w:lastRenderedPageBreak/>
        <w:t xml:space="preserve"> </w:t>
      </w:r>
    </w:p>
    <w:p w14:paraId="0F65E7D8" w14:textId="4B69A023" w:rsidR="00A926B1" w:rsidRPr="0003536C" w:rsidRDefault="00A926B1" w:rsidP="00357F79">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There is a clear division of responsibilities between the Committee and the Executive Leadership Team and any other staff, and separation between governance and advisory roles. </w:t>
      </w:r>
    </w:p>
    <w:p w14:paraId="178E7368" w14:textId="5F4D88DE" w:rsidR="00A926B1" w:rsidRPr="0003536C" w:rsidRDefault="00A926B1" w:rsidP="00357F79">
      <w:pPr>
        <w:pStyle w:val="ListParagraph"/>
        <w:numPr>
          <w:ilvl w:val="0"/>
          <w:numId w:val="3"/>
        </w:numPr>
        <w:spacing w:line="360" w:lineRule="auto"/>
        <w:rPr>
          <w:rFonts w:ascii="Arial Nova" w:hAnsi="Arial Nova"/>
          <w:sz w:val="28"/>
          <w:szCs w:val="28"/>
        </w:rPr>
      </w:pPr>
      <w:r w:rsidRPr="0003536C">
        <w:rPr>
          <w:rFonts w:ascii="Arial Nova" w:hAnsi="Arial Nova"/>
          <w:sz w:val="28"/>
          <w:szCs w:val="28"/>
        </w:rPr>
        <w:t xml:space="preserve">Committee members must have sufficient time to meet their committee (and any sub-group) responsibilities. They provide constructive challenge, strategic guidance, share knowledge and experience, and hold the executive to account for delivery of agreed priorities. </w:t>
      </w:r>
    </w:p>
    <w:p w14:paraId="6D27628B" w14:textId="77777777" w:rsidR="00357F79" w:rsidRDefault="0003536C" w:rsidP="00357F79">
      <w:pPr>
        <w:spacing w:line="360" w:lineRule="auto"/>
        <w:rPr>
          <w:rFonts w:ascii="Arial Nova" w:hAnsi="Arial Nova"/>
          <w:color w:val="0070C0"/>
          <w:sz w:val="28"/>
          <w:szCs w:val="28"/>
        </w:rPr>
      </w:pPr>
      <w:r w:rsidRPr="0003536C">
        <w:rPr>
          <w:rFonts w:ascii="Arial Nova" w:hAnsi="Arial Nova"/>
          <w:color w:val="0070C0"/>
          <w:sz w:val="28"/>
          <w:szCs w:val="28"/>
        </w:rPr>
        <w:t>P</w:t>
      </w:r>
      <w:r w:rsidR="00A926B1" w:rsidRPr="0003536C">
        <w:rPr>
          <w:rFonts w:ascii="Arial Nova" w:hAnsi="Arial Nova"/>
          <w:color w:val="0070C0"/>
          <w:sz w:val="28"/>
          <w:szCs w:val="28"/>
        </w:rPr>
        <w:t xml:space="preserve">eople: Composition, Succession, Evaluation, Compensation and Sanction </w:t>
      </w:r>
    </w:p>
    <w:p w14:paraId="282E8D7C" w14:textId="77777777" w:rsidR="00357F79"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10.</w:t>
      </w:r>
      <w:r>
        <w:rPr>
          <w:rFonts w:ascii="Arial Nova" w:hAnsi="Arial Nova"/>
          <w:color w:val="0070C0"/>
          <w:sz w:val="28"/>
          <w:szCs w:val="28"/>
        </w:rPr>
        <w:t xml:space="preserve"> </w:t>
      </w:r>
      <w:r w:rsidR="00A926B1" w:rsidRPr="00357F79">
        <w:rPr>
          <w:rFonts w:ascii="Arial Nova" w:hAnsi="Arial Nova"/>
          <w:sz w:val="28"/>
          <w:szCs w:val="28"/>
        </w:rPr>
        <w:t xml:space="preserve">All appointments to the Committee (whether elected or appointed members) and all appointments to any sub-groups are subject to a transparent procedure based on objective criteria. The Committee aims to promote diversity and inclusion and reduce obstacles to participation within this context. </w:t>
      </w:r>
    </w:p>
    <w:p w14:paraId="051312CF" w14:textId="77777777" w:rsidR="00357F79"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 xml:space="preserve">11. </w:t>
      </w:r>
      <w:r>
        <w:rPr>
          <w:rFonts w:ascii="Arial Nova" w:hAnsi="Arial Nova"/>
          <w:sz w:val="28"/>
          <w:szCs w:val="28"/>
        </w:rPr>
        <w:t>M</w:t>
      </w:r>
      <w:r w:rsidR="00A926B1" w:rsidRPr="0003536C">
        <w:rPr>
          <w:rFonts w:ascii="Arial Nova" w:hAnsi="Arial Nova"/>
          <w:sz w:val="28"/>
          <w:szCs w:val="28"/>
        </w:rPr>
        <w:t xml:space="preserve">embers are usually appointed (elected or nominated) to the Committee for an initial term of up to four years. If re-appointed (elected/nominated) they may serve for a total of up to 12 years1 (usually two further terms). Any external independent chair serves for an initial term of usually three or four years (as determined by the Committee) and may be reappointed for one further term. The Committee </w:t>
      </w:r>
      <w:r w:rsidR="00A926B1" w:rsidRPr="0003536C">
        <w:rPr>
          <w:rFonts w:ascii="Arial Nova" w:hAnsi="Arial Nova"/>
          <w:sz w:val="28"/>
          <w:szCs w:val="28"/>
        </w:rPr>
        <w:t>d</w:t>
      </w:r>
      <w:r w:rsidR="00A926B1" w:rsidRPr="0003536C">
        <w:rPr>
          <w:rFonts w:ascii="Arial Nova" w:hAnsi="Arial Nova"/>
          <w:sz w:val="28"/>
          <w:szCs w:val="28"/>
        </w:rPr>
        <w:t xml:space="preserve">etermines arrangements and requirements for the appointment of members to sub-committees and other groups, including their tenures. </w:t>
      </w:r>
    </w:p>
    <w:p w14:paraId="74094A9F" w14:textId="77777777" w:rsidR="00357F79" w:rsidRDefault="00357F79" w:rsidP="00357F79">
      <w:pPr>
        <w:spacing w:line="360" w:lineRule="auto"/>
        <w:rPr>
          <w:rFonts w:ascii="Arial Nova" w:hAnsi="Arial Nova"/>
          <w:sz w:val="28"/>
          <w:szCs w:val="28"/>
        </w:rPr>
      </w:pPr>
    </w:p>
    <w:p w14:paraId="7994402C" w14:textId="47C5382F" w:rsidR="00357F79"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 xml:space="preserve">12. </w:t>
      </w:r>
      <w:r w:rsidR="00A926B1" w:rsidRPr="0003536C">
        <w:rPr>
          <w:rFonts w:ascii="Arial Nova" w:hAnsi="Arial Nova"/>
          <w:sz w:val="28"/>
          <w:szCs w:val="28"/>
        </w:rPr>
        <w:t>Members of the Committee and any sub-committees should together have the</w:t>
      </w:r>
      <w:r w:rsidR="00A926B1" w:rsidRPr="0003536C">
        <w:rPr>
          <w:rFonts w:ascii="Arial Nova" w:hAnsi="Arial Nova"/>
          <w:sz w:val="28"/>
          <w:szCs w:val="28"/>
        </w:rPr>
        <w:t xml:space="preserve"> </w:t>
      </w:r>
      <w:r w:rsidR="00A926B1" w:rsidRPr="0003536C">
        <w:rPr>
          <w:rFonts w:ascii="Arial Nova" w:hAnsi="Arial Nova"/>
          <w:sz w:val="28"/>
          <w:szCs w:val="28"/>
        </w:rPr>
        <w:t xml:space="preserve">combination of skills, experience, and knowledge to best carry out their role to support community pharmacy.  </w:t>
      </w:r>
    </w:p>
    <w:p w14:paraId="0CC4BD10" w14:textId="5C3515FF" w:rsidR="00357F79"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13.</w:t>
      </w:r>
      <w:r>
        <w:rPr>
          <w:rFonts w:ascii="Arial Nova" w:hAnsi="Arial Nova"/>
          <w:color w:val="E97132" w:themeColor="accent2"/>
          <w:sz w:val="28"/>
          <w:szCs w:val="28"/>
        </w:rPr>
        <w:t xml:space="preserve"> </w:t>
      </w:r>
      <w:r w:rsidR="00A926B1" w:rsidRPr="0003536C">
        <w:rPr>
          <w:rFonts w:ascii="Arial Nova" w:hAnsi="Arial Nova"/>
          <w:sz w:val="28"/>
          <w:szCs w:val="28"/>
        </w:rPr>
        <w:t xml:space="preserve">The Committee regularly reviews its composition as well as its performance to understand and address any barriers to effectiveness and participation and to make best use of members’ skills, experience and knowledge. It promotes the future effectiveness of the committee by planning for succession and smooth transition, both through encouraging the sharing and development of existing members’ skills and knowledge and fostering a community of prospective candidates. </w:t>
      </w:r>
      <w:r w:rsidRPr="00357F79">
        <w:rPr>
          <w:rFonts w:ascii="Arial Nova" w:hAnsi="Arial Nova"/>
          <w:color w:val="E97132" w:themeColor="accent2"/>
          <w:sz w:val="28"/>
          <w:szCs w:val="28"/>
        </w:rPr>
        <w:t xml:space="preserve">14. </w:t>
      </w:r>
      <w:r w:rsidR="00A926B1" w:rsidRPr="0003536C">
        <w:rPr>
          <w:rFonts w:ascii="Arial Nova" w:hAnsi="Arial Nova"/>
          <w:sz w:val="28"/>
          <w:szCs w:val="28"/>
        </w:rPr>
        <w:t xml:space="preserve">The Committee annually reviews and agrees rates and terms for recompensing Committee members (including LPC Committee Officers) for costs incurred in carrying out Committee and subcommittee activity. The Committee determines the remuneration of its external independent chair (if any) on appointment and reviews annually.  </w:t>
      </w:r>
    </w:p>
    <w:p w14:paraId="0A0CFD1C" w14:textId="77777777" w:rsidR="00357F79"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 xml:space="preserve">15. </w:t>
      </w:r>
      <w:r w:rsidR="00A926B1" w:rsidRPr="0003536C">
        <w:rPr>
          <w:rFonts w:ascii="Arial Nova" w:hAnsi="Arial Nova"/>
          <w:sz w:val="28"/>
          <w:szCs w:val="28"/>
        </w:rPr>
        <w:t>The Committee ensures arrangements are in place for the annual performance review</w:t>
      </w:r>
      <w:r w:rsidR="00A926B1" w:rsidRPr="0003536C">
        <w:rPr>
          <w:rFonts w:ascii="Arial Nova" w:hAnsi="Arial Nova"/>
          <w:sz w:val="28"/>
          <w:szCs w:val="28"/>
        </w:rPr>
        <w:t xml:space="preserve"> </w:t>
      </w:r>
      <w:r w:rsidR="00A926B1" w:rsidRPr="0003536C">
        <w:rPr>
          <w:rFonts w:ascii="Arial Nova" w:hAnsi="Arial Nova"/>
          <w:sz w:val="28"/>
          <w:szCs w:val="28"/>
        </w:rPr>
        <w:t xml:space="preserve">of the Executive Leadership Team and annually reviews and agree their remuneration, taking account of organisational and individual performance and wider circumstances. It also ensures effective succession planning for the Executive Leadership Team that there are appropriate arrangements in place for the appointment, management and remuneration of any other staff. </w:t>
      </w:r>
    </w:p>
    <w:p w14:paraId="1BF9D4AB" w14:textId="77777777" w:rsidR="00357F79" w:rsidRDefault="00357F79" w:rsidP="00357F79">
      <w:pPr>
        <w:spacing w:line="360" w:lineRule="auto"/>
        <w:rPr>
          <w:rFonts w:ascii="Arial Nova" w:hAnsi="Arial Nova"/>
          <w:sz w:val="28"/>
          <w:szCs w:val="28"/>
        </w:rPr>
      </w:pPr>
    </w:p>
    <w:p w14:paraId="40E18E27" w14:textId="77777777" w:rsidR="00357F79" w:rsidRDefault="00357F79" w:rsidP="00357F79">
      <w:pPr>
        <w:spacing w:line="360" w:lineRule="auto"/>
        <w:rPr>
          <w:rFonts w:ascii="Arial Nova" w:hAnsi="Arial Nova"/>
          <w:sz w:val="28"/>
          <w:szCs w:val="28"/>
        </w:rPr>
      </w:pPr>
    </w:p>
    <w:p w14:paraId="210AD79F" w14:textId="6553A090" w:rsidR="00A926B1"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 xml:space="preserve">16. </w:t>
      </w:r>
      <w:r w:rsidR="00A926B1" w:rsidRPr="0003536C">
        <w:rPr>
          <w:rFonts w:ascii="Arial Nova" w:hAnsi="Arial Nova"/>
          <w:sz w:val="28"/>
          <w:szCs w:val="28"/>
        </w:rPr>
        <w:t xml:space="preserve">Committee members must commit to and </w:t>
      </w:r>
      <w:proofErr w:type="gramStart"/>
      <w:r w:rsidR="00A926B1" w:rsidRPr="0003536C">
        <w:rPr>
          <w:rFonts w:ascii="Arial Nova" w:hAnsi="Arial Nova"/>
          <w:sz w:val="28"/>
          <w:szCs w:val="28"/>
        </w:rPr>
        <w:t>comply with the Code of Conduct at all</w:t>
      </w:r>
      <w:r w:rsidR="00A926B1" w:rsidRPr="0003536C">
        <w:rPr>
          <w:rFonts w:ascii="Arial Nova" w:hAnsi="Arial Nova"/>
          <w:sz w:val="28"/>
          <w:szCs w:val="28"/>
        </w:rPr>
        <w:t xml:space="preserve"> </w:t>
      </w:r>
      <w:r w:rsidR="00A926B1" w:rsidRPr="0003536C">
        <w:rPr>
          <w:rFonts w:ascii="Arial Nova" w:hAnsi="Arial Nova"/>
          <w:sz w:val="28"/>
          <w:szCs w:val="28"/>
        </w:rPr>
        <w:t>times</w:t>
      </w:r>
      <w:proofErr w:type="gramEnd"/>
      <w:r w:rsidR="00A926B1" w:rsidRPr="0003536C">
        <w:rPr>
          <w:rFonts w:ascii="Arial Nova" w:hAnsi="Arial Nova"/>
          <w:sz w:val="28"/>
          <w:szCs w:val="28"/>
        </w:rPr>
        <w:t xml:space="preserve">. Any instances or allegations of Committee members not adhering to the Code will be dealt with in accordance with the arrangements detailed in the Code.  </w:t>
      </w:r>
    </w:p>
    <w:p w14:paraId="63570702" w14:textId="77777777" w:rsidR="00357F79" w:rsidRDefault="00A926B1" w:rsidP="00357F79">
      <w:pPr>
        <w:spacing w:line="360" w:lineRule="auto"/>
        <w:rPr>
          <w:rFonts w:ascii="Arial Nova" w:hAnsi="Arial Nova"/>
          <w:color w:val="0070C0"/>
          <w:sz w:val="28"/>
          <w:szCs w:val="28"/>
        </w:rPr>
      </w:pPr>
      <w:r w:rsidRPr="0003536C">
        <w:rPr>
          <w:rFonts w:ascii="Arial Nova" w:hAnsi="Arial Nova"/>
          <w:color w:val="0070C0"/>
          <w:sz w:val="28"/>
          <w:szCs w:val="28"/>
        </w:rPr>
        <w:t xml:space="preserve">Audit, Risk and Internal Control </w:t>
      </w:r>
    </w:p>
    <w:p w14:paraId="1C9B2B7E" w14:textId="77777777" w:rsidR="00357F79"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 xml:space="preserve">17. </w:t>
      </w:r>
      <w:r w:rsidR="00A926B1" w:rsidRPr="0003536C">
        <w:rPr>
          <w:rFonts w:ascii="Arial Nova" w:hAnsi="Arial Nova"/>
          <w:sz w:val="28"/>
          <w:szCs w:val="28"/>
        </w:rPr>
        <w:t>The Committee satisfies itself on the integrity of the organisation’s systems, processes, policies, and information, with advice as necessary. This includes the</w:t>
      </w:r>
      <w:r w:rsidR="00A926B1" w:rsidRPr="0003536C">
        <w:rPr>
          <w:rFonts w:ascii="Arial Nova" w:hAnsi="Arial Nova"/>
          <w:sz w:val="28"/>
          <w:szCs w:val="28"/>
        </w:rPr>
        <w:t xml:space="preserve"> </w:t>
      </w:r>
      <w:r w:rsidR="00A926B1" w:rsidRPr="0003536C">
        <w:rPr>
          <w:rFonts w:ascii="Arial Nova" w:hAnsi="Arial Nova"/>
          <w:sz w:val="28"/>
          <w:szCs w:val="28"/>
        </w:rPr>
        <w:t xml:space="preserve">external audit or assurance of financial information at least annually. </w:t>
      </w:r>
    </w:p>
    <w:p w14:paraId="6281AB19" w14:textId="7DAFCC14" w:rsidR="00357F79"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18.</w:t>
      </w:r>
      <w:r>
        <w:rPr>
          <w:rFonts w:ascii="Arial Nova" w:hAnsi="Arial Nova"/>
          <w:sz w:val="28"/>
          <w:szCs w:val="28"/>
        </w:rPr>
        <w:t xml:space="preserve"> </w:t>
      </w:r>
      <w:r w:rsidR="00A926B1" w:rsidRPr="0003536C">
        <w:rPr>
          <w:rFonts w:ascii="Arial Nova" w:hAnsi="Arial Nova"/>
          <w:sz w:val="28"/>
          <w:szCs w:val="28"/>
        </w:rPr>
        <w:t xml:space="preserve">The Committee provides stewardship of the organisation’s resources, ensuring that all funding received is used only for its agreed purpose. It agrees and publishes an annual report providing a fair and balanced assessment of its performance and use of these funds over the previous year, and its financial position. </w:t>
      </w:r>
    </w:p>
    <w:p w14:paraId="746F64AC" w14:textId="05753CF2" w:rsidR="00A926B1" w:rsidRPr="0003536C" w:rsidRDefault="00357F79" w:rsidP="00357F79">
      <w:pPr>
        <w:spacing w:line="360" w:lineRule="auto"/>
        <w:rPr>
          <w:rFonts w:ascii="Arial Nova" w:hAnsi="Arial Nova"/>
          <w:sz w:val="28"/>
          <w:szCs w:val="28"/>
        </w:rPr>
      </w:pPr>
      <w:r w:rsidRPr="00357F79">
        <w:rPr>
          <w:rFonts w:ascii="Arial Nova" w:hAnsi="Arial Nova"/>
          <w:color w:val="E97132" w:themeColor="accent2"/>
          <w:sz w:val="28"/>
          <w:szCs w:val="28"/>
        </w:rPr>
        <w:t xml:space="preserve">19. </w:t>
      </w:r>
      <w:r w:rsidR="00A926B1" w:rsidRPr="0003536C">
        <w:rPr>
          <w:rFonts w:ascii="Arial Nova" w:hAnsi="Arial Nova"/>
          <w:sz w:val="28"/>
          <w:szCs w:val="28"/>
        </w:rPr>
        <w:t xml:space="preserve">The Committee ensures that there are effective arrangements in place to identify, assess and manage risk, and regularly reviews the organisation’s risk tolerance to ensure it is best placed to achieve its long-term strategic objectives. </w:t>
      </w:r>
    </w:p>
    <w:p w14:paraId="11B35CF9" w14:textId="707609E6" w:rsidR="00A926B1" w:rsidRPr="00A926B1" w:rsidRDefault="00A926B1" w:rsidP="00A926B1">
      <w:pPr>
        <w:rPr>
          <w:rFonts w:ascii="Arial Nova" w:hAnsi="Arial Nova"/>
          <w:color w:val="0070C0"/>
          <w:sz w:val="28"/>
          <w:szCs w:val="28"/>
        </w:rPr>
      </w:pPr>
      <w:r w:rsidRPr="00A926B1">
        <w:rPr>
          <w:rFonts w:ascii="Arial Nova" w:hAnsi="Arial Nova"/>
          <w:color w:val="0070C0"/>
          <w:sz w:val="28"/>
          <w:szCs w:val="28"/>
        </w:rPr>
        <w:t xml:space="preserve">Next review: March 2027 </w:t>
      </w:r>
    </w:p>
    <w:sectPr w:rsidR="00A926B1" w:rsidRPr="00A926B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FD6093" w14:textId="77777777" w:rsidR="00A926B1" w:rsidRDefault="00A926B1" w:rsidP="00A926B1">
      <w:pPr>
        <w:spacing w:after="0" w:line="240" w:lineRule="auto"/>
      </w:pPr>
      <w:r>
        <w:separator/>
      </w:r>
    </w:p>
  </w:endnote>
  <w:endnote w:type="continuationSeparator" w:id="0">
    <w:p w14:paraId="25F3131F" w14:textId="77777777" w:rsidR="00A926B1" w:rsidRDefault="00A926B1" w:rsidP="00A92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panose1 w:val="020B0504020202020204"/>
    <w:charset w:val="00"/>
    <w:family w:val="swiss"/>
    <w:pitch w:val="variable"/>
    <w:sig w:usb0="2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6E395" w14:textId="77777777" w:rsidR="00A926B1" w:rsidRDefault="00A926B1" w:rsidP="00A926B1">
      <w:pPr>
        <w:spacing w:after="0" w:line="240" w:lineRule="auto"/>
      </w:pPr>
      <w:r>
        <w:separator/>
      </w:r>
    </w:p>
  </w:footnote>
  <w:footnote w:type="continuationSeparator" w:id="0">
    <w:p w14:paraId="21CD17CD" w14:textId="77777777" w:rsidR="00A926B1" w:rsidRDefault="00A926B1" w:rsidP="00A92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8E799" w14:textId="52D29848" w:rsidR="00A926B1" w:rsidRDefault="00A926B1">
    <w:pPr>
      <w:pStyle w:val="Header"/>
    </w:pPr>
    <w:r>
      <w:rPr>
        <w:noProof/>
      </w:rPr>
      <w:drawing>
        <wp:inline distT="0" distB="0" distL="0" distR="0" wp14:anchorId="71E5AC0D" wp14:editId="168C3C44">
          <wp:extent cx="1896110" cy="548640"/>
          <wp:effectExtent l="0" t="0" r="8890" b="0"/>
          <wp:docPr id="61979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110" cy="548640"/>
                  </a:xfrm>
                  <a:prstGeom prst="rect">
                    <a:avLst/>
                  </a:prstGeom>
                  <a:noFill/>
                </pic:spPr>
              </pic:pic>
            </a:graphicData>
          </a:graphic>
        </wp:inline>
      </w:drawing>
    </w:r>
    <w:r>
      <w:t xml:space="preserve">            </w:t>
    </w:r>
    <w:r>
      <w:rPr>
        <w:noProof/>
      </w:rPr>
      <w:drawing>
        <wp:inline distT="0" distB="0" distL="0" distR="0" wp14:anchorId="13490A4E" wp14:editId="3DC1CE15">
          <wp:extent cx="3182620" cy="1164590"/>
          <wp:effectExtent l="0" t="0" r="0" b="0"/>
          <wp:docPr id="877971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82620" cy="11645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B6541"/>
    <w:multiLevelType w:val="hybridMultilevel"/>
    <w:tmpl w:val="4154C9C6"/>
    <w:lvl w:ilvl="0" w:tplc="6AEE903C">
      <w:start w:val="1"/>
      <w:numFmt w:val="decimal"/>
      <w:lvlText w:val="%1."/>
      <w:lvlJc w:val="left"/>
      <w:pPr>
        <w:ind w:left="644" w:hanging="360"/>
      </w:pPr>
      <w:rPr>
        <w:color w:val="E97132" w:themeColor="accent2"/>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BFB4440"/>
    <w:multiLevelType w:val="hybridMultilevel"/>
    <w:tmpl w:val="C0062E14"/>
    <w:lvl w:ilvl="0" w:tplc="ADC4D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06503F"/>
    <w:multiLevelType w:val="hybridMultilevel"/>
    <w:tmpl w:val="8D628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BC13FB3"/>
    <w:multiLevelType w:val="hybridMultilevel"/>
    <w:tmpl w:val="045A368A"/>
    <w:lvl w:ilvl="0" w:tplc="C6C4C1DE">
      <w:start w:val="1"/>
      <w:numFmt w:val="decimal"/>
      <w:lvlText w:val="%1."/>
      <w:lvlJc w:val="left"/>
      <w:pPr>
        <w:ind w:left="360" w:hanging="360"/>
      </w:pPr>
      <w:rPr>
        <w:color w:val="E97132" w:themeColor="accent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78C72CD1"/>
    <w:multiLevelType w:val="hybridMultilevel"/>
    <w:tmpl w:val="FEBAB5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7383316">
    <w:abstractNumId w:val="4"/>
  </w:num>
  <w:num w:numId="2" w16cid:durableId="935407260">
    <w:abstractNumId w:val="1"/>
  </w:num>
  <w:num w:numId="3" w16cid:durableId="2018263161">
    <w:abstractNumId w:val="3"/>
  </w:num>
  <w:num w:numId="4" w16cid:durableId="742488987">
    <w:abstractNumId w:val="2"/>
  </w:num>
  <w:num w:numId="5" w16cid:durableId="102848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B1"/>
    <w:rsid w:val="0003536C"/>
    <w:rsid w:val="002446B2"/>
    <w:rsid w:val="00357F79"/>
    <w:rsid w:val="00A926B1"/>
    <w:rsid w:val="00AD6D17"/>
    <w:rsid w:val="00B03206"/>
    <w:rsid w:val="00B41AB8"/>
    <w:rsid w:val="00FD4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A090FB"/>
  <w15:chartTrackingRefBased/>
  <w15:docId w15:val="{A15337A8-E097-4C36-9571-44248B96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6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6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6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6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6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6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6B1"/>
    <w:rPr>
      <w:rFonts w:eastAsiaTheme="majorEastAsia" w:cstheme="majorBidi"/>
      <w:color w:val="272727" w:themeColor="text1" w:themeTint="D8"/>
    </w:rPr>
  </w:style>
  <w:style w:type="paragraph" w:styleId="Title">
    <w:name w:val="Title"/>
    <w:basedOn w:val="Normal"/>
    <w:next w:val="Normal"/>
    <w:link w:val="TitleChar"/>
    <w:uiPriority w:val="10"/>
    <w:qFormat/>
    <w:rsid w:val="00A92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6B1"/>
    <w:pPr>
      <w:spacing w:before="160"/>
      <w:jc w:val="center"/>
    </w:pPr>
    <w:rPr>
      <w:i/>
      <w:iCs/>
      <w:color w:val="404040" w:themeColor="text1" w:themeTint="BF"/>
    </w:rPr>
  </w:style>
  <w:style w:type="character" w:customStyle="1" w:styleId="QuoteChar">
    <w:name w:val="Quote Char"/>
    <w:basedOn w:val="DefaultParagraphFont"/>
    <w:link w:val="Quote"/>
    <w:uiPriority w:val="29"/>
    <w:rsid w:val="00A926B1"/>
    <w:rPr>
      <w:i/>
      <w:iCs/>
      <w:color w:val="404040" w:themeColor="text1" w:themeTint="BF"/>
    </w:rPr>
  </w:style>
  <w:style w:type="paragraph" w:styleId="ListParagraph">
    <w:name w:val="List Paragraph"/>
    <w:basedOn w:val="Normal"/>
    <w:uiPriority w:val="34"/>
    <w:qFormat/>
    <w:rsid w:val="00A926B1"/>
    <w:pPr>
      <w:ind w:left="720"/>
      <w:contextualSpacing/>
    </w:pPr>
  </w:style>
  <w:style w:type="character" w:styleId="IntenseEmphasis">
    <w:name w:val="Intense Emphasis"/>
    <w:basedOn w:val="DefaultParagraphFont"/>
    <w:uiPriority w:val="21"/>
    <w:qFormat/>
    <w:rsid w:val="00A926B1"/>
    <w:rPr>
      <w:i/>
      <w:iCs/>
      <w:color w:val="0F4761" w:themeColor="accent1" w:themeShade="BF"/>
    </w:rPr>
  </w:style>
  <w:style w:type="paragraph" w:styleId="IntenseQuote">
    <w:name w:val="Intense Quote"/>
    <w:basedOn w:val="Normal"/>
    <w:next w:val="Normal"/>
    <w:link w:val="IntenseQuoteChar"/>
    <w:uiPriority w:val="30"/>
    <w:qFormat/>
    <w:rsid w:val="00A92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6B1"/>
    <w:rPr>
      <w:i/>
      <w:iCs/>
      <w:color w:val="0F4761" w:themeColor="accent1" w:themeShade="BF"/>
    </w:rPr>
  </w:style>
  <w:style w:type="character" w:styleId="IntenseReference">
    <w:name w:val="Intense Reference"/>
    <w:basedOn w:val="DefaultParagraphFont"/>
    <w:uiPriority w:val="32"/>
    <w:qFormat/>
    <w:rsid w:val="00A926B1"/>
    <w:rPr>
      <w:b/>
      <w:bCs/>
      <w:smallCaps/>
      <w:color w:val="0F4761" w:themeColor="accent1" w:themeShade="BF"/>
      <w:spacing w:val="5"/>
    </w:rPr>
  </w:style>
  <w:style w:type="paragraph" w:styleId="Header">
    <w:name w:val="header"/>
    <w:basedOn w:val="Normal"/>
    <w:link w:val="HeaderChar"/>
    <w:uiPriority w:val="99"/>
    <w:unhideWhenUsed/>
    <w:rsid w:val="00A92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6B1"/>
  </w:style>
  <w:style w:type="paragraph" w:styleId="Footer">
    <w:name w:val="footer"/>
    <w:basedOn w:val="Normal"/>
    <w:link w:val="FooterChar"/>
    <w:uiPriority w:val="99"/>
    <w:unhideWhenUsed/>
    <w:rsid w:val="00A92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Hina (NHSPHARMACY)</dc:creator>
  <cp:keywords/>
  <dc:description/>
  <cp:lastModifiedBy>PATEL, Hina (NHSPHARMACY)</cp:lastModifiedBy>
  <cp:revision>1</cp:revision>
  <dcterms:created xsi:type="dcterms:W3CDTF">2026-09-18T09:50:00Z</dcterms:created>
  <dcterms:modified xsi:type="dcterms:W3CDTF">2026-09-18T10:18:00Z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f2ec3854-6772-4648-a2bc-211ca8eae698</vt:lpwstr>
  </property>
</Properties>
</file>