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B80C7" w14:textId="7FD62EE2" w:rsidR="009E7087" w:rsidRPr="009E7087" w:rsidRDefault="009E7087" w:rsidP="009E7087">
      <w:pPr>
        <w:spacing w:after="0" w:line="240" w:lineRule="auto"/>
        <w:rPr>
          <w:rFonts w:ascii="Calibri" w:hAnsi="Calibri" w:cs="Calibri"/>
          <w:sz w:val="22"/>
          <w:szCs w:val="22"/>
        </w:rPr>
      </w:pPr>
      <w:r w:rsidRPr="009E7087">
        <w:rPr>
          <w:rFonts w:ascii="Calibri" w:hAnsi="Calibri" w:cs="Calibri"/>
          <w:sz w:val="22"/>
          <w:szCs w:val="22"/>
        </w:rPr>
        <w:t>Ongoing monitoring of the Hypertension Case Finding Service (HCFS) has identified that there are data discrepancies appearing in the blood pressure (BP) measurement data submitted for a number of patients.</w:t>
      </w:r>
      <w:r>
        <w:rPr>
          <w:rFonts w:ascii="Calibri" w:hAnsi="Calibri" w:cs="Calibri"/>
          <w:sz w:val="22"/>
          <w:szCs w:val="22"/>
        </w:rPr>
        <w:t xml:space="preserve"> </w:t>
      </w:r>
      <w:r w:rsidRPr="009E7087">
        <w:rPr>
          <w:rFonts w:ascii="Calibri" w:hAnsi="Calibri" w:cs="Calibri"/>
          <w:sz w:val="22"/>
          <w:szCs w:val="22"/>
        </w:rPr>
        <w:t>Further clinical review with frontline pharmacy teams revealed this may be caused by:</w:t>
      </w:r>
    </w:p>
    <w:p w14:paraId="7C08386B" w14:textId="77777777" w:rsidR="009E7087" w:rsidRPr="009E7087" w:rsidRDefault="009E7087" w:rsidP="009E7087">
      <w:pPr>
        <w:numPr>
          <w:ilvl w:val="0"/>
          <w:numId w:val="1"/>
        </w:numPr>
        <w:spacing w:after="0" w:line="240" w:lineRule="auto"/>
        <w:rPr>
          <w:rFonts w:ascii="Calibri" w:hAnsi="Calibri" w:cs="Calibri"/>
          <w:sz w:val="22"/>
          <w:szCs w:val="22"/>
        </w:rPr>
      </w:pPr>
      <w:r w:rsidRPr="009E7087">
        <w:rPr>
          <w:rFonts w:ascii="Calibri" w:hAnsi="Calibri" w:cs="Calibri"/>
          <w:b/>
          <w:bCs/>
          <w:sz w:val="22"/>
          <w:szCs w:val="22"/>
        </w:rPr>
        <w:t>User error in documenting BP measurements</w:t>
      </w:r>
    </w:p>
    <w:p w14:paraId="626950E3" w14:textId="77777777" w:rsidR="009E7087" w:rsidRPr="009E7087" w:rsidRDefault="009E7087" w:rsidP="009E7087">
      <w:pPr>
        <w:numPr>
          <w:ilvl w:val="0"/>
          <w:numId w:val="1"/>
        </w:numPr>
        <w:spacing w:after="0" w:line="240" w:lineRule="auto"/>
        <w:rPr>
          <w:rFonts w:ascii="Calibri" w:hAnsi="Calibri" w:cs="Calibri"/>
          <w:sz w:val="22"/>
          <w:szCs w:val="22"/>
        </w:rPr>
      </w:pPr>
      <w:r w:rsidRPr="009E7087">
        <w:rPr>
          <w:rFonts w:ascii="Calibri" w:hAnsi="Calibri" w:cs="Calibri"/>
          <w:b/>
          <w:bCs/>
          <w:sz w:val="22"/>
          <w:szCs w:val="22"/>
        </w:rPr>
        <w:t>Lack of knowledge over how to categorise BP measurements</w:t>
      </w:r>
    </w:p>
    <w:p w14:paraId="4238DA64" w14:textId="77777777" w:rsidR="009E7087" w:rsidRDefault="009E7087" w:rsidP="009E7087">
      <w:pPr>
        <w:spacing w:after="0"/>
        <w:rPr>
          <w:rFonts w:ascii="Calibri" w:hAnsi="Calibri" w:cs="Calibri"/>
          <w:sz w:val="22"/>
          <w:szCs w:val="22"/>
        </w:rPr>
      </w:pPr>
    </w:p>
    <w:p w14:paraId="7D510395" w14:textId="56D19B1F" w:rsidR="009E7087" w:rsidRPr="009E7087" w:rsidRDefault="009E7087" w:rsidP="00B171C6">
      <w:pPr>
        <w:spacing w:after="0" w:line="240" w:lineRule="auto"/>
        <w:jc w:val="both"/>
        <w:rPr>
          <w:rFonts w:ascii="Calibri" w:hAnsi="Calibri" w:cs="Calibri"/>
          <w:sz w:val="22"/>
          <w:szCs w:val="22"/>
        </w:rPr>
      </w:pPr>
      <w:r w:rsidRPr="009E7087">
        <w:rPr>
          <w:rFonts w:ascii="Calibri" w:hAnsi="Calibri" w:cs="Calibri"/>
          <w:sz w:val="22"/>
          <w:szCs w:val="22"/>
        </w:rPr>
        <w:t>The accurate recording of BP results as part of the service is critical. Poor data quality in the pharmacy record can lead to inaccurate BP measurement being sent to GP practices for inclusion in patient records and can affect the ability of GPs to make an appropriate diagnosis regarding a patient’s hypertension status.</w:t>
      </w:r>
    </w:p>
    <w:p w14:paraId="3119675C" w14:textId="77777777" w:rsidR="009E7087" w:rsidRDefault="009E7087" w:rsidP="009E7087">
      <w:pPr>
        <w:spacing w:after="0"/>
        <w:rPr>
          <w:rFonts w:ascii="Calibri" w:hAnsi="Calibri" w:cs="Calibri"/>
          <w:b/>
          <w:bCs/>
          <w:sz w:val="22"/>
          <w:szCs w:val="22"/>
        </w:rPr>
      </w:pPr>
    </w:p>
    <w:p w14:paraId="28035348" w14:textId="1A1EF7E9" w:rsidR="009E7087" w:rsidRPr="009E7087" w:rsidRDefault="009E7087" w:rsidP="00397736">
      <w:pPr>
        <w:pBdr>
          <w:top w:val="single" w:sz="4" w:space="1" w:color="auto"/>
          <w:left w:val="single" w:sz="4" w:space="4" w:color="auto"/>
          <w:bottom w:val="single" w:sz="4" w:space="1" w:color="auto"/>
          <w:right w:val="single" w:sz="4" w:space="4" w:color="auto"/>
        </w:pBdr>
        <w:shd w:val="clear" w:color="auto" w:fill="DAE9F7" w:themeFill="text2" w:themeFillTint="1A"/>
        <w:spacing w:after="0" w:line="240" w:lineRule="auto"/>
        <w:rPr>
          <w:rFonts w:ascii="Calibri" w:hAnsi="Calibri" w:cs="Calibri"/>
          <w:sz w:val="22"/>
          <w:szCs w:val="22"/>
        </w:rPr>
      </w:pPr>
      <w:r w:rsidRPr="009E7087">
        <w:rPr>
          <w:rFonts w:ascii="Calibri" w:hAnsi="Calibri" w:cs="Calibri"/>
          <w:b/>
          <w:bCs/>
          <w:sz w:val="22"/>
          <w:szCs w:val="22"/>
        </w:rPr>
        <w:t>FOR ACTION: Pharmacists and Pharmacy Technicians</w:t>
      </w:r>
    </w:p>
    <w:p w14:paraId="229EB737" w14:textId="77777777" w:rsidR="009E7087" w:rsidRPr="009E7087" w:rsidRDefault="009E7087" w:rsidP="00397736">
      <w:pPr>
        <w:numPr>
          <w:ilvl w:val="0"/>
          <w:numId w:val="2"/>
        </w:numPr>
        <w:pBdr>
          <w:top w:val="single" w:sz="4" w:space="1" w:color="auto"/>
          <w:left w:val="single" w:sz="4" w:space="4" w:color="auto"/>
          <w:bottom w:val="single" w:sz="4" w:space="1" w:color="auto"/>
          <w:right w:val="single" w:sz="4" w:space="4" w:color="auto"/>
        </w:pBdr>
        <w:shd w:val="clear" w:color="auto" w:fill="DAE9F7" w:themeFill="text2" w:themeFillTint="1A"/>
        <w:tabs>
          <w:tab w:val="clear" w:pos="720"/>
          <w:tab w:val="num" w:pos="360"/>
        </w:tabs>
        <w:spacing w:after="0" w:line="240" w:lineRule="auto"/>
        <w:ind w:left="360"/>
        <w:jc w:val="both"/>
        <w:rPr>
          <w:rFonts w:ascii="Calibri" w:hAnsi="Calibri" w:cs="Calibri"/>
          <w:sz w:val="22"/>
          <w:szCs w:val="22"/>
        </w:rPr>
      </w:pPr>
      <w:r w:rsidRPr="009E7087">
        <w:rPr>
          <w:rFonts w:ascii="Calibri" w:hAnsi="Calibri" w:cs="Calibri"/>
          <w:sz w:val="22"/>
          <w:szCs w:val="22"/>
        </w:rPr>
        <w:t>Carry out regular audits of BP data quality</w:t>
      </w:r>
    </w:p>
    <w:p w14:paraId="3DE78C73" w14:textId="77777777" w:rsidR="009E7087" w:rsidRPr="009E7087" w:rsidRDefault="009E7087" w:rsidP="00397736">
      <w:pPr>
        <w:numPr>
          <w:ilvl w:val="0"/>
          <w:numId w:val="2"/>
        </w:numPr>
        <w:pBdr>
          <w:top w:val="single" w:sz="4" w:space="1" w:color="auto"/>
          <w:left w:val="single" w:sz="4" w:space="4" w:color="auto"/>
          <w:bottom w:val="single" w:sz="4" w:space="1" w:color="auto"/>
          <w:right w:val="single" w:sz="4" w:space="4" w:color="auto"/>
        </w:pBdr>
        <w:shd w:val="clear" w:color="auto" w:fill="DAE9F7" w:themeFill="text2" w:themeFillTint="1A"/>
        <w:tabs>
          <w:tab w:val="clear" w:pos="720"/>
          <w:tab w:val="num" w:pos="360"/>
        </w:tabs>
        <w:spacing w:after="0" w:line="240" w:lineRule="auto"/>
        <w:ind w:left="360"/>
        <w:jc w:val="both"/>
        <w:rPr>
          <w:rFonts w:ascii="Calibri" w:hAnsi="Calibri" w:cs="Calibri"/>
          <w:sz w:val="22"/>
          <w:szCs w:val="22"/>
        </w:rPr>
      </w:pPr>
      <w:r w:rsidRPr="009E7087">
        <w:rPr>
          <w:rFonts w:ascii="Calibri" w:hAnsi="Calibri" w:cs="Calibri"/>
          <w:sz w:val="22"/>
          <w:szCs w:val="22"/>
        </w:rPr>
        <w:t>Be vigilant when documenting BP measurements in line with the </w:t>
      </w:r>
      <w:hyperlink r:id="rId7" w:history="1">
        <w:r w:rsidRPr="009E7087">
          <w:rPr>
            <w:rStyle w:val="Hyperlink"/>
            <w:rFonts w:ascii="Calibri" w:hAnsi="Calibri" w:cs="Calibri"/>
            <w:b/>
            <w:bCs/>
            <w:sz w:val="22"/>
            <w:szCs w:val="22"/>
          </w:rPr>
          <w:t>service specification</w:t>
        </w:r>
      </w:hyperlink>
      <w:r w:rsidRPr="009E7087">
        <w:rPr>
          <w:rFonts w:ascii="Calibri" w:hAnsi="Calibri" w:cs="Calibri"/>
          <w:sz w:val="22"/>
          <w:szCs w:val="22"/>
        </w:rPr>
        <w:t> (Annexes B, C &amp; D p15, 16 and 17)</w:t>
      </w:r>
    </w:p>
    <w:p w14:paraId="7703FEF3" w14:textId="77777777" w:rsidR="009E7087" w:rsidRPr="009E7087" w:rsidRDefault="009E7087" w:rsidP="00397736">
      <w:pPr>
        <w:numPr>
          <w:ilvl w:val="0"/>
          <w:numId w:val="3"/>
        </w:numPr>
        <w:pBdr>
          <w:top w:val="single" w:sz="4" w:space="1" w:color="auto"/>
          <w:left w:val="single" w:sz="4" w:space="4" w:color="auto"/>
          <w:bottom w:val="single" w:sz="4" w:space="1" w:color="auto"/>
          <w:right w:val="single" w:sz="4" w:space="4" w:color="auto"/>
        </w:pBdr>
        <w:shd w:val="clear" w:color="auto" w:fill="DAE9F7" w:themeFill="text2" w:themeFillTint="1A"/>
        <w:tabs>
          <w:tab w:val="clear" w:pos="720"/>
          <w:tab w:val="num" w:pos="360"/>
        </w:tabs>
        <w:spacing w:after="0" w:line="240" w:lineRule="auto"/>
        <w:ind w:left="360"/>
        <w:jc w:val="both"/>
        <w:rPr>
          <w:rFonts w:ascii="Calibri" w:hAnsi="Calibri" w:cs="Calibri"/>
          <w:sz w:val="22"/>
          <w:szCs w:val="22"/>
        </w:rPr>
      </w:pPr>
      <w:r w:rsidRPr="009E7087">
        <w:rPr>
          <w:rFonts w:ascii="Calibri" w:hAnsi="Calibri" w:cs="Calibri"/>
          <w:sz w:val="22"/>
          <w:szCs w:val="22"/>
        </w:rPr>
        <w:t>Undertake regular staff refresher training in measuring and documenting BP measurements for clinic BP and ambulatory BP monitoring (ABPM). Resources include (this list is not exhaustive):</w:t>
      </w:r>
    </w:p>
    <w:p w14:paraId="6F58B50C" w14:textId="77777777" w:rsidR="009E7087" w:rsidRPr="009E7087" w:rsidRDefault="007551F9" w:rsidP="00397736">
      <w:pPr>
        <w:numPr>
          <w:ilvl w:val="0"/>
          <w:numId w:val="4"/>
        </w:numPr>
        <w:pBdr>
          <w:top w:val="single" w:sz="4" w:space="1" w:color="auto"/>
          <w:left w:val="single" w:sz="4" w:space="4" w:color="auto"/>
          <w:bottom w:val="single" w:sz="4" w:space="1" w:color="auto"/>
          <w:right w:val="single" w:sz="4" w:space="4" w:color="auto"/>
        </w:pBdr>
        <w:shd w:val="clear" w:color="auto" w:fill="DAE9F7" w:themeFill="text2" w:themeFillTint="1A"/>
        <w:tabs>
          <w:tab w:val="clear" w:pos="720"/>
          <w:tab w:val="num" w:pos="360"/>
        </w:tabs>
        <w:spacing w:after="0" w:line="240" w:lineRule="auto"/>
        <w:ind w:left="360"/>
        <w:jc w:val="both"/>
        <w:rPr>
          <w:rFonts w:ascii="Calibri" w:hAnsi="Calibri" w:cs="Calibri"/>
          <w:sz w:val="22"/>
          <w:szCs w:val="22"/>
        </w:rPr>
      </w:pPr>
      <w:hyperlink r:id="rId8" w:history="1">
        <w:r w:rsidR="009E7087" w:rsidRPr="009E7087">
          <w:rPr>
            <w:rStyle w:val="Hyperlink"/>
            <w:rFonts w:ascii="Calibri" w:hAnsi="Calibri" w:cs="Calibri"/>
            <w:b/>
            <w:bCs/>
            <w:sz w:val="22"/>
            <w:szCs w:val="22"/>
          </w:rPr>
          <w:t>British &amp; Irish Hypertension Society</w:t>
        </w:r>
      </w:hyperlink>
    </w:p>
    <w:p w14:paraId="39268878" w14:textId="77777777" w:rsidR="009E7087" w:rsidRPr="009E7087" w:rsidRDefault="007551F9" w:rsidP="00397736">
      <w:pPr>
        <w:numPr>
          <w:ilvl w:val="0"/>
          <w:numId w:val="4"/>
        </w:numPr>
        <w:pBdr>
          <w:top w:val="single" w:sz="4" w:space="1" w:color="auto"/>
          <w:left w:val="single" w:sz="4" w:space="4" w:color="auto"/>
          <w:bottom w:val="single" w:sz="4" w:space="1" w:color="auto"/>
          <w:right w:val="single" w:sz="4" w:space="4" w:color="auto"/>
        </w:pBdr>
        <w:shd w:val="clear" w:color="auto" w:fill="DAE9F7" w:themeFill="text2" w:themeFillTint="1A"/>
        <w:tabs>
          <w:tab w:val="clear" w:pos="720"/>
          <w:tab w:val="num" w:pos="360"/>
        </w:tabs>
        <w:spacing w:after="0" w:line="240" w:lineRule="auto"/>
        <w:ind w:left="360"/>
        <w:jc w:val="both"/>
        <w:rPr>
          <w:rFonts w:ascii="Calibri" w:hAnsi="Calibri" w:cs="Calibri"/>
          <w:sz w:val="22"/>
          <w:szCs w:val="22"/>
        </w:rPr>
      </w:pPr>
      <w:hyperlink r:id="rId9" w:history="1">
        <w:r w:rsidR="009E7087" w:rsidRPr="009E7087">
          <w:rPr>
            <w:rStyle w:val="Hyperlink"/>
            <w:rFonts w:ascii="Calibri" w:hAnsi="Calibri" w:cs="Calibri"/>
            <w:b/>
            <w:bCs/>
            <w:sz w:val="22"/>
            <w:szCs w:val="22"/>
          </w:rPr>
          <w:t>Centre for Pharmacy Postgraduate Education</w:t>
        </w:r>
      </w:hyperlink>
    </w:p>
    <w:p w14:paraId="164E27DB" w14:textId="77777777" w:rsidR="009E7087" w:rsidRPr="009E7087" w:rsidRDefault="007551F9" w:rsidP="00397736">
      <w:pPr>
        <w:numPr>
          <w:ilvl w:val="0"/>
          <w:numId w:val="4"/>
        </w:numPr>
        <w:pBdr>
          <w:top w:val="single" w:sz="4" w:space="1" w:color="auto"/>
          <w:left w:val="single" w:sz="4" w:space="4" w:color="auto"/>
          <w:bottom w:val="single" w:sz="4" w:space="1" w:color="auto"/>
          <w:right w:val="single" w:sz="4" w:space="4" w:color="auto"/>
        </w:pBdr>
        <w:shd w:val="clear" w:color="auto" w:fill="DAE9F7" w:themeFill="text2" w:themeFillTint="1A"/>
        <w:tabs>
          <w:tab w:val="clear" w:pos="720"/>
          <w:tab w:val="num" w:pos="360"/>
        </w:tabs>
        <w:spacing w:after="0" w:line="240" w:lineRule="auto"/>
        <w:ind w:left="360"/>
        <w:jc w:val="both"/>
        <w:rPr>
          <w:rFonts w:ascii="Calibri" w:hAnsi="Calibri" w:cs="Calibri"/>
          <w:sz w:val="22"/>
          <w:szCs w:val="22"/>
        </w:rPr>
      </w:pPr>
      <w:hyperlink r:id="rId10" w:history="1">
        <w:r w:rsidR="009E7087" w:rsidRPr="009E7087">
          <w:rPr>
            <w:rStyle w:val="Hyperlink"/>
            <w:rFonts w:ascii="Calibri" w:hAnsi="Calibri" w:cs="Calibri"/>
            <w:b/>
            <w:bCs/>
            <w:sz w:val="22"/>
            <w:szCs w:val="22"/>
          </w:rPr>
          <w:t>Community Pharmacy England</w:t>
        </w:r>
      </w:hyperlink>
    </w:p>
    <w:p w14:paraId="4F5BC23E" w14:textId="77777777" w:rsidR="009E7087" w:rsidRPr="009E7087" w:rsidRDefault="007551F9" w:rsidP="00397736">
      <w:pPr>
        <w:numPr>
          <w:ilvl w:val="0"/>
          <w:numId w:val="4"/>
        </w:numPr>
        <w:pBdr>
          <w:top w:val="single" w:sz="4" w:space="1" w:color="auto"/>
          <w:left w:val="single" w:sz="4" w:space="4" w:color="auto"/>
          <w:bottom w:val="single" w:sz="4" w:space="1" w:color="auto"/>
          <w:right w:val="single" w:sz="4" w:space="4" w:color="auto"/>
        </w:pBdr>
        <w:shd w:val="clear" w:color="auto" w:fill="DAE9F7" w:themeFill="text2" w:themeFillTint="1A"/>
        <w:tabs>
          <w:tab w:val="clear" w:pos="720"/>
          <w:tab w:val="num" w:pos="360"/>
        </w:tabs>
        <w:spacing w:after="0" w:line="240" w:lineRule="auto"/>
        <w:ind w:left="360"/>
        <w:jc w:val="both"/>
        <w:rPr>
          <w:rFonts w:ascii="Calibri" w:hAnsi="Calibri" w:cs="Calibri"/>
          <w:sz w:val="22"/>
          <w:szCs w:val="22"/>
        </w:rPr>
      </w:pPr>
      <w:hyperlink r:id="rId11" w:history="1">
        <w:r w:rsidR="009E7087" w:rsidRPr="009E7087">
          <w:rPr>
            <w:rStyle w:val="Hyperlink"/>
            <w:rFonts w:ascii="Calibri" w:hAnsi="Calibri" w:cs="Calibri"/>
            <w:b/>
            <w:bCs/>
            <w:sz w:val="22"/>
            <w:szCs w:val="22"/>
          </w:rPr>
          <w:t>National Pharmacy Association</w:t>
        </w:r>
      </w:hyperlink>
      <w:r w:rsidR="009E7087" w:rsidRPr="009E7087">
        <w:rPr>
          <w:rFonts w:ascii="Calibri" w:hAnsi="Calibri" w:cs="Calibri"/>
          <w:sz w:val="22"/>
          <w:szCs w:val="22"/>
        </w:rPr>
        <w:t> (NPA members only).</w:t>
      </w:r>
    </w:p>
    <w:p w14:paraId="140CA54A" w14:textId="77777777" w:rsidR="009E7087" w:rsidRDefault="009E7087" w:rsidP="00CD5815">
      <w:pPr>
        <w:shd w:val="clear" w:color="auto" w:fill="FFFFFF" w:themeFill="background1"/>
        <w:spacing w:after="0" w:line="240" w:lineRule="auto"/>
        <w:rPr>
          <w:rFonts w:ascii="Calibri" w:hAnsi="Calibri" w:cs="Calibri"/>
          <w:b/>
          <w:bCs/>
          <w:sz w:val="22"/>
          <w:szCs w:val="22"/>
        </w:rPr>
      </w:pPr>
    </w:p>
    <w:p w14:paraId="0E379B85" w14:textId="6B9BB7BB" w:rsidR="009E7087" w:rsidRPr="009E7087" w:rsidRDefault="009E7087" w:rsidP="00853DA2">
      <w:pPr>
        <w:pBdr>
          <w:top w:val="single" w:sz="4" w:space="1" w:color="auto"/>
          <w:left w:val="single" w:sz="4" w:space="4" w:color="auto"/>
          <w:bottom w:val="single" w:sz="4" w:space="1" w:color="auto"/>
          <w:right w:val="single" w:sz="4" w:space="4" w:color="auto"/>
        </w:pBdr>
        <w:shd w:val="clear" w:color="auto" w:fill="DAE9F7" w:themeFill="text2" w:themeFillTint="1A"/>
        <w:spacing w:after="0"/>
        <w:rPr>
          <w:rFonts w:ascii="Calibri" w:hAnsi="Calibri" w:cs="Calibri"/>
          <w:sz w:val="22"/>
          <w:szCs w:val="22"/>
        </w:rPr>
      </w:pPr>
      <w:r w:rsidRPr="009E7087">
        <w:rPr>
          <w:rFonts w:ascii="Calibri" w:hAnsi="Calibri" w:cs="Calibri"/>
          <w:b/>
          <w:bCs/>
          <w:sz w:val="22"/>
          <w:szCs w:val="22"/>
        </w:rPr>
        <w:t>FOR ACTION: Contractors</w:t>
      </w:r>
    </w:p>
    <w:p w14:paraId="2959D50D" w14:textId="16E53D38" w:rsidR="009E7087" w:rsidRPr="009E7087" w:rsidRDefault="009E7087" w:rsidP="00853DA2">
      <w:pPr>
        <w:pBdr>
          <w:top w:val="single" w:sz="4" w:space="1" w:color="auto"/>
          <w:left w:val="single" w:sz="4" w:space="4" w:color="auto"/>
          <w:bottom w:val="single" w:sz="4" w:space="1" w:color="auto"/>
          <w:right w:val="single" w:sz="4" w:space="4" w:color="auto"/>
        </w:pBdr>
        <w:shd w:val="clear" w:color="auto" w:fill="DAE9F7" w:themeFill="text2" w:themeFillTint="1A"/>
        <w:spacing w:after="0" w:line="240" w:lineRule="auto"/>
        <w:rPr>
          <w:rFonts w:ascii="Calibri" w:hAnsi="Calibri" w:cs="Calibri"/>
          <w:sz w:val="22"/>
          <w:szCs w:val="22"/>
        </w:rPr>
      </w:pPr>
      <w:r w:rsidRPr="009E7087">
        <w:rPr>
          <w:rFonts w:ascii="Calibri" w:hAnsi="Calibri" w:cs="Calibri"/>
          <w:sz w:val="22"/>
          <w:szCs w:val="22"/>
        </w:rPr>
        <w:t>Ensure staff delivering the service are trained to deliver the service as set out in the </w:t>
      </w:r>
      <w:hyperlink r:id="rId12" w:history="1">
        <w:r w:rsidRPr="009E7087">
          <w:rPr>
            <w:rStyle w:val="Hyperlink"/>
            <w:rFonts w:ascii="Calibri" w:hAnsi="Calibri" w:cs="Calibri"/>
            <w:b/>
            <w:bCs/>
            <w:sz w:val="22"/>
            <w:szCs w:val="22"/>
          </w:rPr>
          <w:t>service specification</w:t>
        </w:r>
      </w:hyperlink>
      <w:r w:rsidRPr="009E7087">
        <w:rPr>
          <w:rFonts w:ascii="Calibri" w:hAnsi="Calibri" w:cs="Calibri"/>
          <w:sz w:val="22"/>
          <w:szCs w:val="22"/>
        </w:rPr>
        <w:t> and understand how to use the IT system for documentation and sending data to patients’ GP practices.</w:t>
      </w:r>
      <w:r>
        <w:rPr>
          <w:rFonts w:ascii="Calibri" w:hAnsi="Calibri" w:cs="Calibri"/>
          <w:sz w:val="22"/>
          <w:szCs w:val="22"/>
        </w:rPr>
        <w:t xml:space="preserve"> </w:t>
      </w:r>
      <w:r w:rsidRPr="009E7087">
        <w:rPr>
          <w:rFonts w:ascii="Calibri" w:hAnsi="Calibri" w:cs="Calibri"/>
          <w:sz w:val="22"/>
          <w:szCs w:val="22"/>
        </w:rPr>
        <w:t>Key reminders:</w:t>
      </w:r>
    </w:p>
    <w:p w14:paraId="764F13B5" w14:textId="77777777" w:rsidR="009E7087" w:rsidRPr="009E7087" w:rsidRDefault="009E7087" w:rsidP="00853DA2">
      <w:pPr>
        <w:numPr>
          <w:ilvl w:val="0"/>
          <w:numId w:val="5"/>
        </w:numPr>
        <w:pBdr>
          <w:top w:val="single" w:sz="4" w:space="1" w:color="auto"/>
          <w:left w:val="single" w:sz="4" w:space="4" w:color="auto"/>
          <w:bottom w:val="single" w:sz="4" w:space="1" w:color="auto"/>
          <w:right w:val="single" w:sz="4" w:space="4" w:color="auto"/>
        </w:pBdr>
        <w:shd w:val="clear" w:color="auto" w:fill="DAE9F7" w:themeFill="text2" w:themeFillTint="1A"/>
        <w:tabs>
          <w:tab w:val="clear" w:pos="360"/>
          <w:tab w:val="num" w:pos="720"/>
        </w:tabs>
        <w:spacing w:after="0" w:line="240" w:lineRule="auto"/>
        <w:rPr>
          <w:rFonts w:ascii="Calibri" w:hAnsi="Calibri" w:cs="Calibri"/>
          <w:sz w:val="22"/>
          <w:szCs w:val="22"/>
        </w:rPr>
      </w:pPr>
      <w:r w:rsidRPr="009E7087">
        <w:rPr>
          <w:rFonts w:ascii="Calibri" w:hAnsi="Calibri" w:cs="Calibri"/>
          <w:sz w:val="22"/>
          <w:szCs w:val="22"/>
        </w:rPr>
        <w:t>As set out in the </w:t>
      </w:r>
      <w:hyperlink r:id="rId13" w:history="1">
        <w:r w:rsidRPr="009E7087">
          <w:rPr>
            <w:rStyle w:val="Hyperlink"/>
            <w:rFonts w:ascii="Calibri" w:hAnsi="Calibri" w:cs="Calibri"/>
            <w:b/>
            <w:bCs/>
            <w:sz w:val="22"/>
            <w:szCs w:val="22"/>
          </w:rPr>
          <w:t>Hypertension Case Finding Service</w:t>
        </w:r>
      </w:hyperlink>
      <w:r w:rsidRPr="009E7087">
        <w:rPr>
          <w:rFonts w:ascii="Calibri" w:hAnsi="Calibri" w:cs="Calibri"/>
          <w:sz w:val="22"/>
          <w:szCs w:val="22"/>
        </w:rPr>
        <w:t> specification it is not the role of the pharmacy team to diagnose hypertension, and the IT systems used for this national service are not clinical decision-making tools. The intention of this service is to capture clinical BP and ABPM measurements and to share the outcomes back to the patient’s GP practice. The GP will use this data to inform any decision making regarding the ongoing care and management of the patient</w:t>
      </w:r>
    </w:p>
    <w:p w14:paraId="6239387E" w14:textId="77777777" w:rsidR="00397736" w:rsidRDefault="00397736" w:rsidP="00853DA2">
      <w:pPr>
        <w:pBdr>
          <w:top w:val="single" w:sz="4" w:space="1" w:color="auto"/>
          <w:left w:val="single" w:sz="4" w:space="4" w:color="auto"/>
          <w:bottom w:val="single" w:sz="4" w:space="1" w:color="auto"/>
          <w:right w:val="single" w:sz="4" w:space="4" w:color="auto"/>
        </w:pBdr>
        <w:shd w:val="clear" w:color="auto" w:fill="DAE9F7" w:themeFill="text2" w:themeFillTint="1A"/>
        <w:tabs>
          <w:tab w:val="num" w:pos="720"/>
        </w:tabs>
        <w:spacing w:after="0" w:line="240" w:lineRule="auto"/>
        <w:rPr>
          <w:rFonts w:ascii="Calibri" w:hAnsi="Calibri" w:cs="Calibri"/>
          <w:sz w:val="22"/>
          <w:szCs w:val="22"/>
        </w:rPr>
      </w:pPr>
    </w:p>
    <w:p w14:paraId="52B40B9A" w14:textId="3F6A0B1D" w:rsidR="009E7087" w:rsidRPr="009E7087" w:rsidRDefault="009E7087" w:rsidP="00853DA2">
      <w:pPr>
        <w:numPr>
          <w:ilvl w:val="0"/>
          <w:numId w:val="5"/>
        </w:numPr>
        <w:pBdr>
          <w:top w:val="single" w:sz="4" w:space="1" w:color="auto"/>
          <w:left w:val="single" w:sz="4" w:space="4" w:color="auto"/>
          <w:bottom w:val="single" w:sz="4" w:space="1" w:color="auto"/>
          <w:right w:val="single" w:sz="4" w:space="4" w:color="auto"/>
        </w:pBdr>
        <w:shd w:val="clear" w:color="auto" w:fill="DAE9F7" w:themeFill="text2" w:themeFillTint="1A"/>
        <w:tabs>
          <w:tab w:val="clear" w:pos="360"/>
          <w:tab w:val="num" w:pos="720"/>
        </w:tabs>
        <w:spacing w:after="0" w:line="240" w:lineRule="auto"/>
        <w:rPr>
          <w:rFonts w:ascii="Calibri" w:hAnsi="Calibri" w:cs="Calibri"/>
          <w:sz w:val="22"/>
          <w:szCs w:val="22"/>
        </w:rPr>
      </w:pPr>
      <w:r w:rsidRPr="009E7087">
        <w:rPr>
          <w:rFonts w:ascii="Calibri" w:hAnsi="Calibri" w:cs="Calibri"/>
          <w:sz w:val="22"/>
          <w:szCs w:val="22"/>
        </w:rPr>
        <w:t>Where an IT system automatically categorises a blood pressure reading (as low, normal, high or very high blood pressure) based on the submitted entries and thresholds set out in the service specification, a need to override this category is unlikely</w:t>
      </w:r>
    </w:p>
    <w:p w14:paraId="50F17CDC" w14:textId="77777777" w:rsidR="00397736" w:rsidRDefault="00397736" w:rsidP="00853DA2">
      <w:pPr>
        <w:pBdr>
          <w:top w:val="single" w:sz="4" w:space="1" w:color="auto"/>
          <w:left w:val="single" w:sz="4" w:space="4" w:color="auto"/>
          <w:bottom w:val="single" w:sz="4" w:space="1" w:color="auto"/>
          <w:right w:val="single" w:sz="4" w:space="4" w:color="auto"/>
        </w:pBdr>
        <w:shd w:val="clear" w:color="auto" w:fill="DAE9F7" w:themeFill="text2" w:themeFillTint="1A"/>
        <w:tabs>
          <w:tab w:val="num" w:pos="720"/>
        </w:tabs>
        <w:spacing w:after="0" w:line="240" w:lineRule="auto"/>
        <w:rPr>
          <w:rFonts w:ascii="Calibri" w:hAnsi="Calibri" w:cs="Calibri"/>
          <w:sz w:val="22"/>
          <w:szCs w:val="22"/>
        </w:rPr>
      </w:pPr>
    </w:p>
    <w:p w14:paraId="602DEEBB" w14:textId="48391543" w:rsidR="009E7087" w:rsidRPr="009E7087" w:rsidRDefault="009E7087" w:rsidP="00853DA2">
      <w:pPr>
        <w:numPr>
          <w:ilvl w:val="0"/>
          <w:numId w:val="5"/>
        </w:numPr>
        <w:pBdr>
          <w:top w:val="single" w:sz="4" w:space="1" w:color="auto"/>
          <w:left w:val="single" w:sz="4" w:space="4" w:color="auto"/>
          <w:bottom w:val="single" w:sz="4" w:space="1" w:color="auto"/>
          <w:right w:val="single" w:sz="4" w:space="4" w:color="auto"/>
        </w:pBdr>
        <w:shd w:val="clear" w:color="auto" w:fill="DAE9F7" w:themeFill="text2" w:themeFillTint="1A"/>
        <w:tabs>
          <w:tab w:val="clear" w:pos="360"/>
          <w:tab w:val="num" w:pos="720"/>
        </w:tabs>
        <w:spacing w:after="0" w:line="240" w:lineRule="auto"/>
        <w:rPr>
          <w:rFonts w:ascii="Calibri" w:hAnsi="Calibri" w:cs="Calibri"/>
          <w:sz w:val="22"/>
          <w:szCs w:val="22"/>
        </w:rPr>
      </w:pPr>
      <w:r w:rsidRPr="009E7087">
        <w:rPr>
          <w:rFonts w:ascii="Calibri" w:hAnsi="Calibri" w:cs="Calibri"/>
          <w:sz w:val="22"/>
          <w:szCs w:val="22"/>
        </w:rPr>
        <w:t>All staff must be competent to deliver the service and follow the guidance on the appropriate actions to be taken based on the results, as outlined in the relevant service specification. Staff must understand the differences between clinic check bandings and ABPM measurements and ensure patients with raised readings or concerning symptoms are appropriately advised, and/or escalated by referral as appropriate in line with the service specification</w:t>
      </w:r>
    </w:p>
    <w:p w14:paraId="25932A21" w14:textId="77777777" w:rsidR="00397736" w:rsidRDefault="00397736" w:rsidP="00853DA2">
      <w:pPr>
        <w:pBdr>
          <w:top w:val="single" w:sz="4" w:space="1" w:color="auto"/>
          <w:left w:val="single" w:sz="4" w:space="4" w:color="auto"/>
          <w:bottom w:val="single" w:sz="4" w:space="1" w:color="auto"/>
          <w:right w:val="single" w:sz="4" w:space="4" w:color="auto"/>
        </w:pBdr>
        <w:shd w:val="clear" w:color="auto" w:fill="DAE9F7" w:themeFill="text2" w:themeFillTint="1A"/>
        <w:tabs>
          <w:tab w:val="num" w:pos="720"/>
        </w:tabs>
        <w:spacing w:after="0" w:line="240" w:lineRule="auto"/>
        <w:rPr>
          <w:rFonts w:ascii="Calibri" w:hAnsi="Calibri" w:cs="Calibri"/>
          <w:sz w:val="22"/>
          <w:szCs w:val="22"/>
        </w:rPr>
      </w:pPr>
    </w:p>
    <w:p w14:paraId="5D2C6954" w14:textId="5B4FF5BD" w:rsidR="009E7087" w:rsidRDefault="009E7087" w:rsidP="00853DA2">
      <w:pPr>
        <w:numPr>
          <w:ilvl w:val="0"/>
          <w:numId w:val="5"/>
        </w:numPr>
        <w:pBdr>
          <w:top w:val="single" w:sz="4" w:space="1" w:color="auto"/>
          <w:left w:val="single" w:sz="4" w:space="4" w:color="auto"/>
          <w:bottom w:val="single" w:sz="4" w:space="1" w:color="auto"/>
          <w:right w:val="single" w:sz="4" w:space="4" w:color="auto"/>
        </w:pBdr>
        <w:shd w:val="clear" w:color="auto" w:fill="DAE9F7" w:themeFill="text2" w:themeFillTint="1A"/>
        <w:tabs>
          <w:tab w:val="clear" w:pos="360"/>
          <w:tab w:val="num" w:pos="720"/>
        </w:tabs>
        <w:spacing w:after="0" w:line="240" w:lineRule="auto"/>
        <w:rPr>
          <w:rFonts w:ascii="Calibri" w:hAnsi="Calibri" w:cs="Calibri"/>
          <w:sz w:val="22"/>
          <w:szCs w:val="22"/>
        </w:rPr>
      </w:pPr>
      <w:r w:rsidRPr="009E7087">
        <w:rPr>
          <w:rFonts w:ascii="Calibri" w:hAnsi="Calibri" w:cs="Calibri"/>
          <w:sz w:val="22"/>
          <w:szCs w:val="22"/>
        </w:rPr>
        <w:t>Be aware of and ensure all staff involved in service delivery are familiar with the different training resources that support service delivery.</w:t>
      </w:r>
    </w:p>
    <w:p w14:paraId="091ACC2B" w14:textId="77777777" w:rsidR="009E7087" w:rsidRDefault="009E7087" w:rsidP="009E7087">
      <w:pPr>
        <w:shd w:val="clear" w:color="auto" w:fill="FFFFFF" w:themeFill="background1"/>
        <w:spacing w:after="0"/>
        <w:rPr>
          <w:rFonts w:ascii="Calibri" w:hAnsi="Calibri" w:cs="Calibri"/>
          <w:sz w:val="22"/>
          <w:szCs w:val="22"/>
        </w:rPr>
      </w:pPr>
    </w:p>
    <w:p w14:paraId="439D55EF" w14:textId="33DC2ECA" w:rsidR="009E7087" w:rsidRPr="009E7087" w:rsidRDefault="009E7087" w:rsidP="009E7087">
      <w:pPr>
        <w:shd w:val="clear" w:color="auto" w:fill="FFFFFF" w:themeFill="background1"/>
        <w:spacing w:after="0"/>
        <w:jc w:val="center"/>
        <w:rPr>
          <w:rFonts w:ascii="Calibri" w:hAnsi="Calibri" w:cs="Calibri"/>
          <w:b/>
          <w:bCs/>
          <w:sz w:val="22"/>
          <w:szCs w:val="22"/>
        </w:rPr>
      </w:pPr>
      <w:r w:rsidRPr="009E7087">
        <w:rPr>
          <w:rFonts w:ascii="Calibri" w:hAnsi="Calibri" w:cs="Calibri"/>
          <w:b/>
          <w:bCs/>
          <w:sz w:val="22"/>
          <w:szCs w:val="22"/>
        </w:rPr>
        <w:t>With Acknowledgement to Hampshire and isle of Wight LPC</w:t>
      </w:r>
    </w:p>
    <w:sectPr w:rsidR="009E7087" w:rsidRPr="009E7087">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11FE2" w14:textId="77777777" w:rsidR="008E59F3" w:rsidRDefault="008E59F3" w:rsidP="009E7087">
      <w:pPr>
        <w:spacing w:after="0" w:line="240" w:lineRule="auto"/>
      </w:pPr>
      <w:r>
        <w:separator/>
      </w:r>
    </w:p>
  </w:endnote>
  <w:endnote w:type="continuationSeparator" w:id="0">
    <w:p w14:paraId="7B70F82B" w14:textId="77777777" w:rsidR="008E59F3" w:rsidRDefault="008E59F3" w:rsidP="009E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AF503" w14:textId="77777777" w:rsidR="008E59F3" w:rsidRDefault="008E59F3" w:rsidP="009E7087">
      <w:pPr>
        <w:spacing w:after="0" w:line="240" w:lineRule="auto"/>
      </w:pPr>
      <w:r>
        <w:separator/>
      </w:r>
    </w:p>
  </w:footnote>
  <w:footnote w:type="continuationSeparator" w:id="0">
    <w:p w14:paraId="17DAA8DE" w14:textId="77777777" w:rsidR="008E59F3" w:rsidRDefault="008E59F3" w:rsidP="009E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43DBC" w14:textId="0198BB60" w:rsidR="009E7087" w:rsidRDefault="009E7087">
    <w:pPr>
      <w:pStyle w:val="Header"/>
    </w:pPr>
    <w:r>
      <w:t xml:space="preserve">Attachment X Hypertension case funding best practice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A0285"/>
    <w:multiLevelType w:val="multilevel"/>
    <w:tmpl w:val="ABD8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B5B00"/>
    <w:multiLevelType w:val="multilevel"/>
    <w:tmpl w:val="ABD8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36BA0"/>
    <w:multiLevelType w:val="multilevel"/>
    <w:tmpl w:val="ABD8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B0C42"/>
    <w:multiLevelType w:val="multilevel"/>
    <w:tmpl w:val="CF6271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13C036C"/>
    <w:multiLevelType w:val="multilevel"/>
    <w:tmpl w:val="ABD8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A4D30"/>
    <w:multiLevelType w:val="multilevel"/>
    <w:tmpl w:val="ABD8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553614">
    <w:abstractNumId w:val="1"/>
  </w:num>
  <w:num w:numId="2" w16cid:durableId="1882742650">
    <w:abstractNumId w:val="4"/>
  </w:num>
  <w:num w:numId="3" w16cid:durableId="1700741520">
    <w:abstractNumId w:val="0"/>
  </w:num>
  <w:num w:numId="4" w16cid:durableId="14960890">
    <w:abstractNumId w:val="5"/>
  </w:num>
  <w:num w:numId="5" w16cid:durableId="1264267454">
    <w:abstractNumId w:val="3"/>
  </w:num>
  <w:num w:numId="6" w16cid:durableId="466511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087"/>
    <w:rsid w:val="00021C6D"/>
    <w:rsid w:val="00397736"/>
    <w:rsid w:val="007551F9"/>
    <w:rsid w:val="00853DA2"/>
    <w:rsid w:val="008E59F3"/>
    <w:rsid w:val="009E7087"/>
    <w:rsid w:val="00B171C6"/>
    <w:rsid w:val="00CD5815"/>
    <w:rsid w:val="00FE0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D392"/>
  <w15:chartTrackingRefBased/>
  <w15:docId w15:val="{F9A64B11-5E0F-4AF4-A411-BB9EDB9F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087"/>
    <w:rPr>
      <w:rFonts w:eastAsiaTheme="majorEastAsia" w:cstheme="majorBidi"/>
      <w:color w:val="272727" w:themeColor="text1" w:themeTint="D8"/>
    </w:rPr>
  </w:style>
  <w:style w:type="paragraph" w:styleId="Title">
    <w:name w:val="Title"/>
    <w:basedOn w:val="Normal"/>
    <w:next w:val="Normal"/>
    <w:link w:val="TitleChar"/>
    <w:uiPriority w:val="10"/>
    <w:qFormat/>
    <w:rsid w:val="009E7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087"/>
    <w:pPr>
      <w:spacing w:before="160"/>
      <w:jc w:val="center"/>
    </w:pPr>
    <w:rPr>
      <w:i/>
      <w:iCs/>
      <w:color w:val="404040" w:themeColor="text1" w:themeTint="BF"/>
    </w:rPr>
  </w:style>
  <w:style w:type="character" w:customStyle="1" w:styleId="QuoteChar">
    <w:name w:val="Quote Char"/>
    <w:basedOn w:val="DefaultParagraphFont"/>
    <w:link w:val="Quote"/>
    <w:uiPriority w:val="29"/>
    <w:rsid w:val="009E7087"/>
    <w:rPr>
      <w:i/>
      <w:iCs/>
      <w:color w:val="404040" w:themeColor="text1" w:themeTint="BF"/>
    </w:rPr>
  </w:style>
  <w:style w:type="paragraph" w:styleId="ListParagraph">
    <w:name w:val="List Paragraph"/>
    <w:basedOn w:val="Normal"/>
    <w:uiPriority w:val="34"/>
    <w:qFormat/>
    <w:rsid w:val="009E7087"/>
    <w:pPr>
      <w:ind w:left="720"/>
      <w:contextualSpacing/>
    </w:pPr>
  </w:style>
  <w:style w:type="character" w:styleId="IntenseEmphasis">
    <w:name w:val="Intense Emphasis"/>
    <w:basedOn w:val="DefaultParagraphFont"/>
    <w:uiPriority w:val="21"/>
    <w:qFormat/>
    <w:rsid w:val="009E7087"/>
    <w:rPr>
      <w:i/>
      <w:iCs/>
      <w:color w:val="0F4761" w:themeColor="accent1" w:themeShade="BF"/>
    </w:rPr>
  </w:style>
  <w:style w:type="paragraph" w:styleId="IntenseQuote">
    <w:name w:val="Intense Quote"/>
    <w:basedOn w:val="Normal"/>
    <w:next w:val="Normal"/>
    <w:link w:val="IntenseQuoteChar"/>
    <w:uiPriority w:val="30"/>
    <w:qFormat/>
    <w:rsid w:val="009E7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087"/>
    <w:rPr>
      <w:i/>
      <w:iCs/>
      <w:color w:val="0F4761" w:themeColor="accent1" w:themeShade="BF"/>
    </w:rPr>
  </w:style>
  <w:style w:type="character" w:styleId="IntenseReference">
    <w:name w:val="Intense Reference"/>
    <w:basedOn w:val="DefaultParagraphFont"/>
    <w:uiPriority w:val="32"/>
    <w:qFormat/>
    <w:rsid w:val="009E7087"/>
    <w:rPr>
      <w:b/>
      <w:bCs/>
      <w:smallCaps/>
      <w:color w:val="0F4761" w:themeColor="accent1" w:themeShade="BF"/>
      <w:spacing w:val="5"/>
    </w:rPr>
  </w:style>
  <w:style w:type="character" w:styleId="Hyperlink">
    <w:name w:val="Hyperlink"/>
    <w:basedOn w:val="DefaultParagraphFont"/>
    <w:uiPriority w:val="99"/>
    <w:unhideWhenUsed/>
    <w:rsid w:val="009E7087"/>
    <w:rPr>
      <w:color w:val="467886" w:themeColor="hyperlink"/>
      <w:u w:val="single"/>
    </w:rPr>
  </w:style>
  <w:style w:type="character" w:styleId="UnresolvedMention">
    <w:name w:val="Unresolved Mention"/>
    <w:basedOn w:val="DefaultParagraphFont"/>
    <w:uiPriority w:val="99"/>
    <w:semiHidden/>
    <w:unhideWhenUsed/>
    <w:rsid w:val="009E7087"/>
    <w:rPr>
      <w:color w:val="605E5C"/>
      <w:shd w:val="clear" w:color="auto" w:fill="E1DFDD"/>
    </w:rPr>
  </w:style>
  <w:style w:type="paragraph" w:styleId="Header">
    <w:name w:val="header"/>
    <w:basedOn w:val="Normal"/>
    <w:link w:val="HeaderChar"/>
    <w:uiPriority w:val="99"/>
    <w:unhideWhenUsed/>
    <w:rsid w:val="009E7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087"/>
  </w:style>
  <w:style w:type="paragraph" w:styleId="Footer">
    <w:name w:val="footer"/>
    <w:basedOn w:val="Normal"/>
    <w:link w:val="FooterChar"/>
    <w:uiPriority w:val="99"/>
    <w:unhideWhenUsed/>
    <w:rsid w:val="009E7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hs.org.uk/education/default.aspx" TargetMode="External"/><Relationship Id="rId13" Type="http://schemas.openxmlformats.org/officeDocument/2006/relationships/hyperlink" Target="https://www.england.nhs.uk/publication/advanced-service-specification-nhs-community-pharmacy-hypertension-case-finding-advanced-service/" TargetMode="External"/><Relationship Id="rId3" Type="http://schemas.openxmlformats.org/officeDocument/2006/relationships/settings" Target="settings.xml"/><Relationship Id="rId7" Type="http://schemas.openxmlformats.org/officeDocument/2006/relationships/hyperlink" Target="https://www.england.nhs.uk/publication/advanced-service-specification-nhs-community-pharmacy-hypertension-case-finding-advanced-service/" TargetMode="External"/><Relationship Id="rId12" Type="http://schemas.openxmlformats.org/officeDocument/2006/relationships/hyperlink" Target="https://www.england.nhs.uk/publication/advanced-service-specification-nhs-community-pharmacy-hypertension-case-finding-advanced-serv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npa.co.uk/npaportal/s/article/Superintendent-update-Record-keeping-for-NHS-servic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pe.org.uk/national-pharmacy-services/advanced-services/hypertension-case-finding-service/" TargetMode="External"/><Relationship Id="rId4" Type="http://schemas.openxmlformats.org/officeDocument/2006/relationships/webSettings" Target="webSettings.xml"/><Relationship Id="rId9" Type="http://schemas.openxmlformats.org/officeDocument/2006/relationships/hyperlink" Target="https://www.cppe.ac.uk/services/hypertension-case-find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TAMBYRAJAH-NHSE, David (NHS ENGLAND)</dc:creator>
  <cp:keywords/>
  <dc:description/>
  <cp:lastModifiedBy>PATEL, Hina (NHSPHARMACY)</cp:lastModifiedBy>
  <cp:revision>2</cp:revision>
  <dcterms:created xsi:type="dcterms:W3CDTF">2026-07-01T07:51:00Z</dcterms:created>
  <dcterms:modified xsi:type="dcterms:W3CDTF">2026-07-01T07:51:00Z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2d1bb7ed-88e4-42fb-af08-6cf8b56c6d7a</vt:lpwstr>
  </property>
</Properties>
</file>